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heading=h.xkde1v891ecs" w:id="0"/>
      <w:bookmarkEnd w:id="0"/>
      <w:r w:rsidDel="00000000" w:rsidR="00000000" w:rsidRPr="00000000">
        <w:rPr>
          <w:rtl w:val="0"/>
        </w:rPr>
        <w:t xml:space="preserve">Ejemplo Resuelto. El Comunicado de autoridad</w:t>
      </w:r>
    </w:p>
    <w:p w:rsidR="00000000" w:rsidDel="00000000" w:rsidP="00000000" w:rsidRDefault="00000000" w:rsidRPr="00000000" w14:paraId="00000002">
      <w:pPr>
        <w:rPr/>
      </w:pPr>
      <w:r w:rsidDel="00000000" w:rsidR="00000000" w:rsidRPr="00000000">
        <w:rPr>
          <w:rtl w:val="0"/>
        </w:rPr>
        <w:t xml:space="preserve">Aquí tienes un ejemplo breve de ejercicio resuelto. No obstante, debes recordar que tu texto es más amplio, por lo que tu trabajo debe ser más extenso y minucioso. </w:t>
      </w:r>
    </w:p>
    <w:p w:rsidR="00000000" w:rsidDel="00000000" w:rsidP="00000000" w:rsidRDefault="00000000" w:rsidRPr="00000000" w14:paraId="00000003">
      <w:pPr>
        <w:pStyle w:val="Heading1"/>
        <w:rPr/>
      </w:pPr>
      <w:bookmarkStart w:colFirst="0" w:colLast="0" w:name="_heading=h.z20g5uyob15k" w:id="1"/>
      <w:bookmarkEnd w:id="1"/>
      <w:r w:rsidDel="00000000" w:rsidR="00000000" w:rsidRPr="00000000">
        <w:rPr>
          <w:rtl w:val="0"/>
        </w:rPr>
        <w:t xml:space="preserve">1. Planificación (el esquema previo)</w:t>
      </w:r>
    </w:p>
    <w:p w:rsidR="00000000" w:rsidDel="00000000" w:rsidP="00000000" w:rsidRDefault="00000000" w:rsidRPr="00000000" w14:paraId="00000004">
      <w:pPr>
        <w:spacing w:after="240" w:before="240" w:lineRule="auto"/>
        <w:rPr/>
      </w:pPr>
      <w:r w:rsidDel="00000000" w:rsidR="00000000" w:rsidRPr="00000000">
        <w:rPr>
          <w:rtl w:val="0"/>
        </w:rPr>
        <w:t xml:space="preserve">Antes de redactar, el analista organiza sus herramientas lingüísticas:</w:t>
      </w:r>
    </w:p>
    <w:p w:rsidR="00000000" w:rsidDel="00000000" w:rsidP="00000000" w:rsidRDefault="00000000" w:rsidRPr="00000000" w14:paraId="00000005">
      <w:pPr>
        <w:numPr>
          <w:ilvl w:val="0"/>
          <w:numId w:val="1"/>
        </w:numPr>
        <w:spacing w:after="0" w:afterAutospacing="0" w:before="240" w:lineRule="auto"/>
        <w:ind w:left="720" w:hanging="360"/>
        <w:jc w:val="left"/>
      </w:pPr>
      <w:r w:rsidDel="00000000" w:rsidR="00000000" w:rsidRPr="00000000">
        <w:rPr>
          <w:b w:val="1"/>
          <w:bCs w:val="1"/>
          <w:rtl w:val="0"/>
        </w:rPr>
        <w:t xml:space="preserve">Campo léxico-asociativo (suministro y salud):</w:t>
      </w:r>
      <w:r w:rsidDel="00000000" w:rsidR="00000000" w:rsidRPr="00000000">
        <w:rPr>
          <w:rtl w:val="0"/>
        </w:rPr>
        <w:t xml:space="preserve"> </w:t>
      </w:r>
      <w:r w:rsidDel="00000000" w:rsidR="00000000" w:rsidRPr="00000000">
        <w:rPr>
          <w:i w:val="1"/>
          <w:iCs w:val="1"/>
          <w:rtl w:val="0"/>
        </w:rPr>
        <w:t xml:space="preserve">consumo, potabilidad, red de abastecimiento, análisis técnico, seguridad ciudadana…</w:t>
      </w:r>
    </w:p>
    <w:p w:rsidR="00000000" w:rsidDel="00000000" w:rsidP="00000000" w:rsidRDefault="00000000" w:rsidRPr="00000000" w14:paraId="00000006">
      <w:pPr>
        <w:numPr>
          <w:ilvl w:val="0"/>
          <w:numId w:val="1"/>
        </w:numPr>
        <w:spacing w:after="0" w:afterAutospacing="0" w:before="0" w:beforeAutospacing="0" w:lineRule="auto"/>
        <w:ind w:left="720" w:hanging="360"/>
        <w:jc w:val="left"/>
      </w:pPr>
      <w:r w:rsidDel="00000000" w:rsidR="00000000" w:rsidRPr="00000000">
        <w:rPr>
          <w:b w:val="1"/>
          <w:bCs w:val="1"/>
          <w:rtl w:val="0"/>
        </w:rPr>
        <w:t xml:space="preserve">Hiperónimos (palabras paraguas)</w:t>
      </w:r>
    </w:p>
    <w:p w:rsidR="00000000" w:rsidDel="00000000" w:rsidP="00000000" w:rsidRDefault="00000000" w:rsidRPr="00000000" w14:paraId="00000007">
      <w:pPr>
        <w:numPr>
          <w:ilvl w:val="1"/>
          <w:numId w:val="1"/>
        </w:numPr>
        <w:spacing w:after="0" w:afterAutospacing="0" w:before="0" w:beforeAutospacing="0" w:lineRule="auto"/>
        <w:ind w:left="1440" w:hanging="360"/>
        <w:jc w:val="left"/>
      </w:pPr>
      <w:sdt>
        <w:sdtPr>
          <w:id w:val="1252275318"/>
          <w:tag w:val="goog_rdk_0"/>
        </w:sdtPr>
        <w:sdtContent>
          <w:r w:rsidDel="00000000" w:rsidR="00000000" w:rsidRPr="00000000">
            <w:rPr>
              <w:rFonts w:ascii="Arial Unicode MS" w:cs="Arial Unicode MS" w:eastAsia="Arial Unicode MS" w:hAnsi="Arial Unicode MS"/>
              <w:rtl w:val="0"/>
            </w:rPr>
            <w:t xml:space="preserve">en lugar de "tuberías, grifos y depósitos" → </w:t>
          </w:r>
        </w:sdtContent>
      </w:sdt>
      <w:r w:rsidDel="00000000" w:rsidR="00000000" w:rsidRPr="00000000">
        <w:rPr>
          <w:b w:val="1"/>
          <w:bCs w:val="1"/>
          <w:rtl w:val="0"/>
        </w:rPr>
        <w:t xml:space="preserve">infraestructura hídrica</w:t>
      </w:r>
      <w:r w:rsidDel="00000000" w:rsidR="00000000" w:rsidRPr="00000000">
        <w:rPr>
          <w:rtl w:val="0"/>
        </w:rPr>
        <w:t xml:space="preserve">.</w:t>
      </w:r>
    </w:p>
    <w:p w:rsidR="00000000" w:rsidDel="00000000" w:rsidP="00000000" w:rsidRDefault="00000000" w:rsidRPr="00000000" w14:paraId="00000008">
      <w:pPr>
        <w:numPr>
          <w:ilvl w:val="1"/>
          <w:numId w:val="1"/>
        </w:numPr>
        <w:spacing w:after="0" w:afterAutospacing="0" w:before="0" w:beforeAutospacing="0" w:lineRule="auto"/>
        <w:ind w:left="1440" w:hanging="360"/>
        <w:jc w:val="left"/>
      </w:pPr>
      <w:sdt>
        <w:sdtPr>
          <w:id w:val="1055783169"/>
          <w:tag w:val="goog_rdk_1"/>
        </w:sdtPr>
        <w:sdtContent>
          <w:r w:rsidDel="00000000" w:rsidR="00000000" w:rsidRPr="00000000">
            <w:rPr>
              <w:rFonts w:ascii="Arial Unicode MS" w:cs="Arial Unicode MS" w:eastAsia="Arial Unicode MS" w:hAnsi="Arial Unicode MS"/>
              <w:rtl w:val="0"/>
            </w:rPr>
            <w:t xml:space="preserve">en lugar de "médicos, técnicos y químicos" → </w:t>
          </w:r>
        </w:sdtContent>
      </w:sdt>
      <w:r w:rsidDel="00000000" w:rsidR="00000000" w:rsidRPr="00000000">
        <w:rPr>
          <w:b w:val="1"/>
          <w:bCs w:val="1"/>
          <w:rtl w:val="0"/>
        </w:rPr>
        <w:t xml:space="preserve">Personal especializado</w:t>
      </w:r>
      <w:r w:rsidDel="00000000" w:rsidR="00000000" w:rsidRPr="00000000">
        <w:rPr>
          <w:rtl w:val="0"/>
        </w:rPr>
        <w:t xml:space="preserve">.</w:t>
      </w:r>
    </w:p>
    <w:p w:rsidR="00000000" w:rsidDel="00000000" w:rsidP="00000000" w:rsidRDefault="00000000" w:rsidRPr="00000000" w14:paraId="00000009">
      <w:pPr>
        <w:numPr>
          <w:ilvl w:val="0"/>
          <w:numId w:val="1"/>
        </w:numPr>
        <w:spacing w:after="240" w:before="0" w:beforeAutospacing="0" w:lineRule="auto"/>
        <w:ind w:left="720" w:hanging="360"/>
        <w:jc w:val="left"/>
      </w:pPr>
      <w:r w:rsidDel="00000000" w:rsidR="00000000" w:rsidRPr="00000000">
        <w:rPr>
          <w:b w:val="1"/>
          <w:bCs w:val="1"/>
          <w:rtl w:val="0"/>
        </w:rPr>
        <w:t xml:space="preserve">Propósito:</w:t>
      </w:r>
      <w:r w:rsidDel="00000000" w:rsidR="00000000" w:rsidRPr="00000000">
        <w:rPr>
          <w:rtl w:val="0"/>
        </w:rPr>
        <w:t xml:space="preserve"> desmentir el bulo del agua contaminada y transmitir tranquilidad con datos.</w:t>
      </w:r>
    </w:p>
    <w:p w:rsidR="00000000" w:rsidDel="00000000" w:rsidP="00000000" w:rsidRDefault="00000000" w:rsidRPr="00000000" w14:paraId="0000000A">
      <w:pPr>
        <w:pStyle w:val="Heading1"/>
        <w:rPr/>
      </w:pPr>
      <w:bookmarkStart w:colFirst="0" w:colLast="0" w:name="_heading=h.9b4sffu1pmgb" w:id="2"/>
      <w:bookmarkEnd w:id="2"/>
      <w:r w:rsidDel="00000000" w:rsidR="00000000" w:rsidRPr="00000000">
        <w:rPr>
          <w:rtl w:val="0"/>
        </w:rPr>
        <w:t xml:space="preserve">2. Producto final: el comunicado oficial</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Título. </w:t>
      </w:r>
      <w:r w:rsidDel="00000000" w:rsidR="00000000" w:rsidRPr="00000000">
        <w:rPr>
          <w:b w:val="1"/>
          <w:bCs w:val="1"/>
          <w:rtl w:val="0"/>
        </w:rPr>
        <w:t xml:space="preserve">COMUNICADO INFORMATIVO SOBRE LA CALIDAD DEL SUMINISTRO EN EL MUNICIPIO</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Introducción.</w:t>
      </w:r>
      <w:r w:rsidDel="00000000" w:rsidR="00000000" w:rsidRPr="00000000">
        <w:rPr>
          <w:rtl w:val="0"/>
        </w:rPr>
        <w:t xml:space="preserve"> Ante las informaciones infundadas que han circulado recientemente a través de redes sociales sobre una supuesta contaminación del río, se desea emitir una aclaración técnica para garantizar la tranquilidad de la vecindad.</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Desarrollo.</w:t>
      </w:r>
      <w:r w:rsidDel="00000000" w:rsidR="00000000" w:rsidRPr="00000000">
        <w:rPr>
          <w:rtl w:val="0"/>
        </w:rPr>
        <w:t xml:space="preserve"> </w:t>
      </w:r>
      <w:r w:rsidDel="00000000" w:rsidR="00000000" w:rsidRPr="00000000">
        <w:rPr>
          <w:b w:val="1"/>
          <w:bCs w:val="1"/>
          <w:rtl w:val="0"/>
        </w:rPr>
        <w:t xml:space="preserve">La realización</w:t>
      </w:r>
      <w:r w:rsidDel="00000000" w:rsidR="00000000" w:rsidRPr="00000000">
        <w:rPr>
          <w:rtl w:val="0"/>
        </w:rPr>
        <w:t xml:space="preserve"> de análisis exhaustivos en nuestra </w:t>
      </w:r>
      <w:r w:rsidDel="00000000" w:rsidR="00000000" w:rsidRPr="00000000">
        <w:rPr>
          <w:b w:val="1"/>
          <w:bCs w:val="1"/>
          <w:rtl w:val="0"/>
        </w:rPr>
        <w:t xml:space="preserve">infraestructura hídrica</w:t>
      </w:r>
      <w:r w:rsidDel="00000000" w:rsidR="00000000" w:rsidRPr="00000000">
        <w:rPr>
          <w:rtl w:val="0"/>
        </w:rPr>
        <w:t xml:space="preserve"> confirma que los niveles de </w:t>
      </w:r>
      <w:r w:rsidDel="00000000" w:rsidR="00000000" w:rsidRPr="00000000">
        <w:rPr>
          <w:b w:val="1"/>
          <w:bCs w:val="1"/>
          <w:rtl w:val="0"/>
        </w:rPr>
        <w:t xml:space="preserve">potabilidad</w:t>
      </w:r>
      <w:r w:rsidDel="00000000" w:rsidR="00000000" w:rsidRPr="00000000">
        <w:rPr>
          <w:rtl w:val="0"/>
        </w:rPr>
        <w:t xml:space="preserve"> se mantienen dentro de los márgenes legales. </w:t>
      </w:r>
      <w:r w:rsidDel="00000000" w:rsidR="00000000" w:rsidRPr="00000000">
        <w:rPr>
          <w:b w:val="1"/>
          <w:bCs w:val="1"/>
          <w:rtl w:val="0"/>
        </w:rPr>
        <w:t xml:space="preserve">La detección</w:t>
      </w:r>
      <w:r w:rsidDel="00000000" w:rsidR="00000000" w:rsidRPr="00000000">
        <w:rPr>
          <w:rtl w:val="0"/>
        </w:rPr>
        <w:t xml:space="preserve"> de cualquier anomalía es comunicada de forma inmediata por los canales oficiales, situación que no ha ocurrido en la jornada de hoy. Debemos confiar en los medios oficiales, pues son ellos quienes tienen acceso a la información real. El </w:t>
      </w:r>
      <w:r w:rsidDel="00000000" w:rsidR="00000000" w:rsidRPr="00000000">
        <w:rPr>
          <w:b w:val="1"/>
          <w:bCs w:val="1"/>
          <w:rtl w:val="0"/>
        </w:rPr>
        <w:t xml:space="preserve">personal especializado</w:t>
      </w:r>
      <w:r w:rsidDel="00000000" w:rsidR="00000000" w:rsidRPr="00000000">
        <w:rPr>
          <w:rtl w:val="0"/>
        </w:rPr>
        <w:t xml:space="preserve"> es quien verifica que la </w:t>
      </w:r>
      <w:r w:rsidDel="00000000" w:rsidR="00000000" w:rsidRPr="00000000">
        <w:rPr>
          <w:b w:val="1"/>
          <w:bCs w:val="1"/>
          <w:rtl w:val="0"/>
        </w:rPr>
        <w:t xml:space="preserve">red de abastecimiento</w:t>
      </w:r>
      <w:r w:rsidDel="00000000" w:rsidR="00000000" w:rsidRPr="00000000">
        <w:rPr>
          <w:rtl w:val="0"/>
        </w:rPr>
        <w:t xml:space="preserve"> funciona con total normalidad y que el consumo del </w:t>
      </w:r>
      <w:r w:rsidDel="00000000" w:rsidR="00000000" w:rsidRPr="00000000">
        <w:rPr>
          <w:b w:val="1"/>
          <w:bCs w:val="1"/>
          <w:rtl w:val="0"/>
        </w:rPr>
        <w:t xml:space="preserve">líquido </w:t>
      </w:r>
      <w:r w:rsidDel="00000000" w:rsidR="00000000" w:rsidRPr="00000000">
        <w:rPr>
          <w:rtl w:val="0"/>
        </w:rPr>
        <w:t xml:space="preserve">no supone riesgo alguno para la salud pública, por lo tanto, debemos acudir a ellos para evitar informaciones incoherentes, insuficientes o directamente falsas.</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Conclusión.</w:t>
      </w:r>
      <w:r w:rsidDel="00000000" w:rsidR="00000000" w:rsidRPr="00000000">
        <w:rPr>
          <w:rtl w:val="0"/>
        </w:rPr>
        <w:t xml:space="preserve"> Rogamos a la población que evite </w:t>
      </w:r>
      <w:r w:rsidDel="00000000" w:rsidR="00000000" w:rsidRPr="00000000">
        <w:rPr>
          <w:b w:val="1"/>
          <w:bCs w:val="1"/>
          <w:rtl w:val="0"/>
        </w:rPr>
        <w:t xml:space="preserve">la difusión</w:t>
      </w:r>
      <w:r w:rsidDel="00000000" w:rsidR="00000000" w:rsidRPr="00000000">
        <w:rPr>
          <w:rtl w:val="0"/>
        </w:rPr>
        <w:t xml:space="preserve"> de mensajes alarmistas sin verificar. La seguridad de nuestro </w:t>
      </w:r>
      <w:r w:rsidDel="00000000" w:rsidR="00000000" w:rsidRPr="00000000">
        <w:rPr>
          <w:b w:val="1"/>
          <w:bCs w:val="1"/>
          <w:rtl w:val="0"/>
        </w:rPr>
        <w:t xml:space="preserve">suministro básico</w:t>
      </w:r>
      <w:r w:rsidDel="00000000" w:rsidR="00000000" w:rsidRPr="00000000">
        <w:rPr>
          <w:rtl w:val="0"/>
        </w:rPr>
        <w:t xml:space="preserve"> es una prioridad absoluta y se seguirá informando con transparencia a través de la página web y perfiles verificados.</w:t>
      </w:r>
    </w:p>
    <w:p w:rsidR="00000000" w:rsidDel="00000000" w:rsidP="00000000" w:rsidRDefault="00000000" w:rsidRPr="00000000" w14:paraId="0000000F">
      <w:pPr>
        <w:pStyle w:val="Heading1"/>
        <w:spacing w:after="240" w:before="240" w:lineRule="auto"/>
        <w:rPr/>
      </w:pPr>
      <w:bookmarkStart w:colFirst="0" w:colLast="0" w:name="_heading=h.brhre6kpywaq" w:id="3"/>
      <w:bookmarkEnd w:id="3"/>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spacing w:after="240" w:before="240" w:lineRule="auto"/>
        <w:rPr/>
      </w:pPr>
      <w:bookmarkStart w:colFirst="0" w:colLast="0" w:name="_heading=h.k7mptsyxhmm1" w:id="4"/>
      <w:bookmarkEnd w:id="4"/>
      <w:r w:rsidDel="00000000" w:rsidR="00000000" w:rsidRPr="00000000">
        <w:rPr>
          <w:rtl w:val="0"/>
        </w:rPr>
        <w:t xml:space="preserve">3. Técnicas utilizadas</w:t>
      </w:r>
    </w:p>
    <w:tbl>
      <w:tblPr>
        <w:tblStyle w:val="Table1"/>
        <w:tblW w:w="9615.0" w:type="dxa"/>
        <w:jc w:val="left"/>
        <w:tblLayout w:type="fixed"/>
        <w:tblLook w:val="0600"/>
      </w:tblPr>
      <w:tblGrid>
        <w:gridCol w:w="1905"/>
        <w:gridCol w:w="1830"/>
        <w:gridCol w:w="5880"/>
        <w:tblGridChange w:id="0">
          <w:tblGrid>
            <w:gridCol w:w="1905"/>
            <w:gridCol w:w="1830"/>
            <w:gridCol w:w="5880"/>
          </w:tblGrid>
        </w:tblGridChange>
      </w:tblGrid>
      <w:tr>
        <w:trPr>
          <w:cantSplit w:val="0"/>
          <w:trHeight w:val="620.92529296875" w:hRule="atLeast"/>
          <w:tblHeader w:val="0"/>
        </w:trPr>
        <w:tc>
          <w:tcPr>
            <w:tcBorders>
              <w:top w:color="efefef" w:space="0" w:sz="6" w:val="single"/>
              <w:left w:color="efefef" w:space="0" w:sz="6" w:val="single"/>
              <w:bottom w:color="efefef" w:space="0" w:sz="6" w:val="single"/>
              <w:right w:color="efefef" w:space="0" w:sz="6"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1">
            <w:pPr>
              <w:spacing w:after="0" w:before="0" w:line="240" w:lineRule="auto"/>
              <w:jc w:val="left"/>
              <w:rPr/>
            </w:pPr>
            <w:r w:rsidDel="00000000" w:rsidR="00000000" w:rsidRPr="00000000">
              <w:rPr>
                <w:b w:val="1"/>
                <w:bCs w:val="1"/>
                <w:rtl w:val="0"/>
              </w:rPr>
              <w:t xml:space="preserve">Técnica</w:t>
            </w:r>
            <w:r w:rsidDel="00000000" w:rsidR="00000000" w:rsidRPr="00000000">
              <w:rPr>
                <w:rtl w:val="0"/>
              </w:rPr>
            </w:r>
          </w:p>
        </w:tc>
        <w:tc>
          <w:tcPr>
            <w:tcBorders>
              <w:top w:color="efefef" w:space="0" w:sz="6" w:val="single"/>
              <w:left w:color="efefef" w:space="0" w:sz="6" w:val="single"/>
              <w:bottom w:color="efefef" w:space="0" w:sz="6" w:val="single"/>
              <w:right w:color="efefef" w:space="0" w:sz="6"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2">
            <w:pPr>
              <w:spacing w:after="0" w:before="0" w:line="240" w:lineRule="auto"/>
              <w:jc w:val="left"/>
              <w:rPr/>
            </w:pPr>
            <w:r w:rsidDel="00000000" w:rsidR="00000000" w:rsidRPr="00000000">
              <w:rPr>
                <w:b w:val="1"/>
                <w:bCs w:val="1"/>
                <w:rtl w:val="0"/>
              </w:rPr>
              <w:t xml:space="preserve">Ejemplo </w:t>
            </w:r>
            <w:r w:rsidDel="00000000" w:rsidR="00000000" w:rsidRPr="00000000">
              <w:rPr>
                <w:rtl w:val="0"/>
              </w:rPr>
            </w:r>
          </w:p>
        </w:tc>
        <w:tc>
          <w:tcPr>
            <w:tcBorders>
              <w:top w:color="efefef" w:space="0" w:sz="6" w:val="single"/>
              <w:left w:color="efefef" w:space="0" w:sz="6" w:val="single"/>
              <w:bottom w:color="efefef" w:space="0" w:sz="6" w:val="single"/>
              <w:right w:color="efefef" w:space="0" w:sz="6"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3">
            <w:pPr>
              <w:spacing w:after="0" w:before="0" w:line="240" w:lineRule="auto"/>
              <w:jc w:val="left"/>
              <w:rPr/>
            </w:pPr>
            <w:r w:rsidDel="00000000" w:rsidR="00000000" w:rsidRPr="00000000">
              <w:rPr>
                <w:b w:val="1"/>
                <w:bCs w:val="1"/>
                <w:rtl w:val="0"/>
              </w:rPr>
              <w:t xml:space="preserve">Por qué funciona</w:t>
            </w:r>
            <w:r w:rsidDel="00000000" w:rsidR="00000000" w:rsidRPr="00000000">
              <w:rPr>
                <w:rtl w:val="0"/>
              </w:rPr>
            </w:r>
          </w:p>
        </w:tc>
      </w:tr>
      <w:tr>
        <w:trPr>
          <w:cantSplit w:val="0"/>
          <w:trHeight w:val="774.1591864796658" w:hRule="atLeast"/>
          <w:tblHeader w:val="0"/>
        </w:trPr>
        <w:tc>
          <w:tcPr>
            <w:tcBorders>
              <w:top w:color="efefef" w:space="0" w:sz="6" w:val="single"/>
              <w:left w:color="efefef" w:space="0" w:sz="6" w:val="single"/>
              <w:bottom w:color="efefef" w:space="0" w:sz="6" w:val="single"/>
              <w:right w:color="efefef" w:space="0" w:sz="6" w:val="single"/>
            </w:tcBorders>
            <w:tcMar>
              <w:top w:w="100.0" w:type="dxa"/>
              <w:left w:w="100.0" w:type="dxa"/>
              <w:bottom w:w="100.0" w:type="dxa"/>
              <w:right w:w="100.0" w:type="dxa"/>
            </w:tcMar>
            <w:vAlign w:val="top"/>
          </w:tcPr>
          <w:p w:rsidR="00000000" w:rsidDel="00000000" w:rsidP="00000000" w:rsidRDefault="00000000" w:rsidRPr="00000000" w14:paraId="00000014">
            <w:pPr>
              <w:spacing w:after="0" w:before="0" w:line="240" w:lineRule="auto"/>
              <w:jc w:val="left"/>
              <w:rPr/>
            </w:pPr>
            <w:r w:rsidDel="00000000" w:rsidR="00000000" w:rsidRPr="00000000">
              <w:rPr>
                <w:b w:val="1"/>
                <w:bCs w:val="1"/>
                <w:rtl w:val="0"/>
              </w:rPr>
              <w:t xml:space="preserve">Nominalización</w:t>
            </w:r>
            <w:r w:rsidDel="00000000" w:rsidR="00000000" w:rsidRPr="00000000">
              <w:rPr>
                <w:rtl w:val="0"/>
              </w:rPr>
            </w:r>
          </w:p>
        </w:tc>
        <w:tc>
          <w:tcPr>
            <w:tcBorders>
              <w:top w:color="efefef" w:space="0" w:sz="6" w:val="single"/>
              <w:left w:color="efefef" w:space="0" w:sz="6" w:val="single"/>
              <w:bottom w:color="efefef" w:space="0" w:sz="6" w:val="single"/>
              <w:right w:color="efefef" w:space="0" w:sz="6" w:val="single"/>
            </w:tcBorders>
            <w:tcMar>
              <w:top w:w="100.0" w:type="dxa"/>
              <w:left w:w="100.0" w:type="dxa"/>
              <w:bottom w:w="100.0" w:type="dxa"/>
              <w:right w:w="100.0" w:type="dxa"/>
            </w:tcMar>
            <w:vAlign w:val="top"/>
          </w:tcPr>
          <w:p w:rsidR="00000000" w:rsidDel="00000000" w:rsidP="00000000" w:rsidRDefault="00000000" w:rsidRPr="00000000" w14:paraId="00000015">
            <w:pPr>
              <w:spacing w:after="0" w:before="0" w:line="240" w:lineRule="auto"/>
              <w:jc w:val="left"/>
              <w:rPr/>
            </w:pPr>
            <w:r w:rsidDel="00000000" w:rsidR="00000000" w:rsidRPr="00000000">
              <w:rPr>
                <w:i w:val="1"/>
                <w:iCs w:val="1"/>
                <w:rtl w:val="0"/>
              </w:rPr>
              <w:t xml:space="preserve">"La realización de análisis..."</w:t>
            </w:r>
            <w:r w:rsidDel="00000000" w:rsidR="00000000" w:rsidRPr="00000000">
              <w:rPr>
                <w:rtl w:val="0"/>
              </w:rPr>
            </w:r>
          </w:p>
        </w:tc>
        <w:tc>
          <w:tcPr>
            <w:tcBorders>
              <w:top w:color="efefef" w:space="0" w:sz="6" w:val="single"/>
              <w:left w:color="efefef" w:space="0" w:sz="6" w:val="single"/>
              <w:bottom w:color="efefef" w:space="0" w:sz="6" w:val="single"/>
              <w:right w:color="efefef" w:space="0" w:sz="6" w:val="single"/>
            </w:tcBorders>
            <w:tcMar>
              <w:top w:w="100.0" w:type="dxa"/>
              <w:left w:w="100.0" w:type="dxa"/>
              <w:bottom w:w="100.0" w:type="dxa"/>
              <w:right w:w="100.0" w:type="dxa"/>
            </w:tcMar>
            <w:vAlign w:val="top"/>
          </w:tcPr>
          <w:p w:rsidR="00000000" w:rsidDel="00000000" w:rsidP="00000000" w:rsidRDefault="00000000" w:rsidRPr="00000000" w14:paraId="00000016">
            <w:pPr>
              <w:spacing w:after="0" w:before="0" w:line="240" w:lineRule="auto"/>
              <w:jc w:val="left"/>
              <w:rPr/>
            </w:pPr>
            <w:r w:rsidDel="00000000" w:rsidR="00000000" w:rsidRPr="00000000">
              <w:rPr>
                <w:rtl w:val="0"/>
              </w:rPr>
              <w:t xml:space="preserve">En lugar de decir "hemos hecho análisis", usamos el sustantivo "realización". Esto da un tono más serio y objetivo (estilo administrativo).</w:t>
            </w:r>
          </w:p>
        </w:tc>
      </w:tr>
      <w:tr>
        <w:trPr>
          <w:cantSplit w:val="0"/>
          <w:trHeight w:val="774.1591864796658" w:hRule="atLeast"/>
          <w:tblHeader w:val="0"/>
        </w:trPr>
        <w:tc>
          <w:tcPr>
            <w:tcBorders>
              <w:top w:color="efefef" w:space="0" w:sz="6" w:val="single"/>
              <w:left w:color="efefef" w:space="0" w:sz="6" w:val="single"/>
              <w:bottom w:color="efefef" w:space="0" w:sz="6" w:val="single"/>
              <w:right w:color="efefef" w:space="0" w:sz="6" w:val="single"/>
            </w:tcBorders>
            <w:tcMar>
              <w:top w:w="100.0" w:type="dxa"/>
              <w:left w:w="100.0" w:type="dxa"/>
              <w:bottom w:w="100.0" w:type="dxa"/>
              <w:right w:w="100.0" w:type="dxa"/>
            </w:tcMar>
            <w:vAlign w:val="top"/>
          </w:tcPr>
          <w:p w:rsidR="00000000" w:rsidDel="00000000" w:rsidP="00000000" w:rsidRDefault="00000000" w:rsidRPr="00000000" w14:paraId="00000017">
            <w:pPr>
              <w:spacing w:after="0" w:before="0" w:line="240" w:lineRule="auto"/>
              <w:jc w:val="left"/>
              <w:rPr/>
            </w:pPr>
            <w:r w:rsidDel="00000000" w:rsidR="00000000" w:rsidRPr="00000000">
              <w:rPr>
                <w:b w:val="1"/>
                <w:bCs w:val="1"/>
                <w:rtl w:val="0"/>
              </w:rPr>
              <w:t xml:space="preserve">Hiperónimo</w:t>
            </w:r>
            <w:r w:rsidDel="00000000" w:rsidR="00000000" w:rsidRPr="00000000">
              <w:rPr>
                <w:rtl w:val="0"/>
              </w:rPr>
            </w:r>
          </w:p>
        </w:tc>
        <w:tc>
          <w:tcPr>
            <w:tcBorders>
              <w:top w:color="efefef" w:space="0" w:sz="6" w:val="single"/>
              <w:left w:color="efefef" w:space="0" w:sz="6" w:val="single"/>
              <w:bottom w:color="efefef" w:space="0" w:sz="6" w:val="single"/>
              <w:right w:color="efefef" w:space="0" w:sz="6" w:val="single"/>
            </w:tcBorders>
            <w:tcMar>
              <w:top w:w="100.0" w:type="dxa"/>
              <w:left w:w="100.0" w:type="dxa"/>
              <w:bottom w:w="100.0" w:type="dxa"/>
              <w:right w:w="100.0" w:type="dxa"/>
            </w:tcMar>
            <w:vAlign w:val="top"/>
          </w:tcPr>
          <w:p w:rsidR="00000000" w:rsidDel="00000000" w:rsidP="00000000" w:rsidRDefault="00000000" w:rsidRPr="00000000" w14:paraId="00000018">
            <w:pPr>
              <w:spacing w:after="0" w:before="0" w:line="240" w:lineRule="auto"/>
              <w:jc w:val="left"/>
              <w:rPr/>
            </w:pPr>
            <w:r w:rsidDel="00000000" w:rsidR="00000000" w:rsidRPr="00000000">
              <w:rPr>
                <w:i w:val="1"/>
                <w:iCs w:val="1"/>
                <w:rtl w:val="0"/>
              </w:rPr>
              <w:t xml:space="preserve">"Infraestructura hídrica"</w:t>
            </w:r>
            <w:r w:rsidDel="00000000" w:rsidR="00000000" w:rsidRPr="00000000">
              <w:rPr>
                <w:rtl w:val="0"/>
              </w:rPr>
            </w:r>
          </w:p>
        </w:tc>
        <w:tc>
          <w:tcPr>
            <w:tcBorders>
              <w:top w:color="efefef" w:space="0" w:sz="6" w:val="single"/>
              <w:left w:color="efefef" w:space="0" w:sz="6" w:val="single"/>
              <w:bottom w:color="efefef" w:space="0" w:sz="6" w:val="single"/>
              <w:right w:color="efefef" w:space="0" w:sz="6" w:val="single"/>
            </w:tcBorders>
            <w:tcMar>
              <w:top w:w="100.0" w:type="dxa"/>
              <w:left w:w="100.0" w:type="dxa"/>
              <w:bottom w:w="100.0" w:type="dxa"/>
              <w:right w:w="100.0" w:type="dxa"/>
            </w:tcMar>
            <w:vAlign w:val="top"/>
          </w:tcPr>
          <w:p w:rsidR="00000000" w:rsidDel="00000000" w:rsidP="00000000" w:rsidRDefault="00000000" w:rsidRPr="00000000" w14:paraId="00000019">
            <w:pPr>
              <w:spacing w:after="0" w:before="0" w:line="240" w:lineRule="auto"/>
              <w:jc w:val="left"/>
              <w:rPr/>
            </w:pPr>
            <w:r w:rsidDel="00000000" w:rsidR="00000000" w:rsidRPr="00000000">
              <w:rPr>
                <w:rtl w:val="0"/>
              </w:rPr>
              <w:t xml:space="preserve">Agrupa grifos, tuberías y depósitos en una sola categoría técnica, evitando una lista larga y poco profesional.</w:t>
            </w:r>
          </w:p>
        </w:tc>
      </w:tr>
      <w:tr>
        <w:trPr>
          <w:cantSplit w:val="0"/>
          <w:trHeight w:val="774.1591864796658" w:hRule="atLeast"/>
          <w:tblHeader w:val="0"/>
        </w:trPr>
        <w:tc>
          <w:tcPr>
            <w:tcBorders>
              <w:top w:color="efefef" w:space="0" w:sz="6" w:val="single"/>
              <w:left w:color="efefef" w:space="0" w:sz="6" w:val="single"/>
              <w:bottom w:color="efefef" w:space="0" w:sz="6" w:val="single"/>
              <w:right w:color="efefef" w:space="0" w:sz="6" w:val="single"/>
            </w:tcBorders>
            <w:tcMar>
              <w:top w:w="100.0" w:type="dxa"/>
              <w:left w:w="100.0" w:type="dxa"/>
              <w:bottom w:w="100.0" w:type="dxa"/>
              <w:right w:w="100.0" w:type="dxa"/>
            </w:tcMar>
            <w:vAlign w:val="top"/>
          </w:tcPr>
          <w:p w:rsidR="00000000" w:rsidDel="00000000" w:rsidP="00000000" w:rsidRDefault="00000000" w:rsidRPr="00000000" w14:paraId="0000001A">
            <w:pPr>
              <w:spacing w:after="0" w:before="0" w:line="240" w:lineRule="auto"/>
              <w:jc w:val="left"/>
              <w:rPr/>
            </w:pPr>
            <w:r w:rsidDel="00000000" w:rsidR="00000000" w:rsidRPr="00000000">
              <w:rPr>
                <w:b w:val="1"/>
                <w:bCs w:val="1"/>
                <w:rtl w:val="0"/>
              </w:rPr>
              <w:t xml:space="preserve">Campo léxico- asociativo</w:t>
            </w:r>
            <w:r w:rsidDel="00000000" w:rsidR="00000000" w:rsidRPr="00000000">
              <w:rPr>
                <w:rtl w:val="0"/>
              </w:rPr>
            </w:r>
          </w:p>
        </w:tc>
        <w:tc>
          <w:tcPr>
            <w:tcBorders>
              <w:top w:color="efefef" w:space="0" w:sz="6" w:val="single"/>
              <w:left w:color="efefef" w:space="0" w:sz="6" w:val="single"/>
              <w:bottom w:color="efefef" w:space="0" w:sz="6" w:val="single"/>
              <w:right w:color="efefef" w:space="0" w:sz="6" w:val="single"/>
            </w:tcBorders>
            <w:tcMar>
              <w:top w:w="100.0" w:type="dxa"/>
              <w:left w:w="100.0" w:type="dxa"/>
              <w:bottom w:w="100.0" w:type="dxa"/>
              <w:right w:w="100.0" w:type="dxa"/>
            </w:tcMar>
            <w:vAlign w:val="top"/>
          </w:tcPr>
          <w:p w:rsidR="00000000" w:rsidDel="00000000" w:rsidP="00000000" w:rsidRDefault="00000000" w:rsidRPr="00000000" w14:paraId="0000001B">
            <w:pPr>
              <w:spacing w:after="0" w:before="0" w:line="240" w:lineRule="auto"/>
              <w:jc w:val="left"/>
              <w:rPr/>
            </w:pPr>
            <w:r w:rsidDel="00000000" w:rsidR="00000000" w:rsidRPr="00000000">
              <w:rPr>
                <w:i w:val="1"/>
                <w:iCs w:val="1"/>
                <w:rtl w:val="0"/>
              </w:rPr>
              <w:t xml:space="preserve">Potabilidad, abastecimiento, red...</w:t>
            </w:r>
            <w:r w:rsidDel="00000000" w:rsidR="00000000" w:rsidRPr="00000000">
              <w:rPr>
                <w:rtl w:val="0"/>
              </w:rPr>
            </w:r>
          </w:p>
        </w:tc>
        <w:tc>
          <w:tcPr>
            <w:tcBorders>
              <w:top w:color="efefef" w:space="0" w:sz="6" w:val="single"/>
              <w:left w:color="efefef" w:space="0" w:sz="6" w:val="single"/>
              <w:bottom w:color="efefef" w:space="0" w:sz="6" w:val="single"/>
              <w:right w:color="efefef" w:space="0" w:sz="6" w:val="single"/>
            </w:tcBorders>
            <w:tcMar>
              <w:top w:w="100.0" w:type="dxa"/>
              <w:left w:w="100.0" w:type="dxa"/>
              <w:bottom w:w="100.0" w:type="dxa"/>
              <w:right w:w="100.0" w:type="dxa"/>
            </w:tcMar>
            <w:vAlign w:val="top"/>
          </w:tcPr>
          <w:p w:rsidR="00000000" w:rsidDel="00000000" w:rsidP="00000000" w:rsidRDefault="00000000" w:rsidRPr="00000000" w14:paraId="0000001C">
            <w:pPr>
              <w:spacing w:after="0" w:before="0" w:line="240" w:lineRule="auto"/>
              <w:jc w:val="left"/>
              <w:rPr/>
            </w:pPr>
            <w:r w:rsidDel="00000000" w:rsidR="00000000" w:rsidRPr="00000000">
              <w:rPr>
                <w:rtl w:val="0"/>
              </w:rPr>
              <w:t xml:space="preserve">Usar palabras específicas del tema demuestra que el emisor domina la materia y tiene autoridad.</w:t>
            </w:r>
          </w:p>
        </w:tc>
      </w:tr>
      <w:tr>
        <w:trPr>
          <w:cantSplit w:val="0"/>
          <w:trHeight w:val="630.0422397242079" w:hRule="atLeast"/>
          <w:tblHeader w:val="0"/>
        </w:trPr>
        <w:tc>
          <w:tcPr>
            <w:tcBorders>
              <w:top w:color="efefef" w:space="0" w:sz="6" w:val="single"/>
              <w:left w:color="efefef" w:space="0" w:sz="6" w:val="single"/>
              <w:bottom w:color="efefef" w:space="0" w:sz="6" w:val="single"/>
              <w:right w:color="efefef" w:space="0" w:sz="6" w:val="single"/>
            </w:tcBorders>
            <w:tcMar>
              <w:top w:w="100.0" w:type="dxa"/>
              <w:left w:w="100.0" w:type="dxa"/>
              <w:bottom w:w="100.0" w:type="dxa"/>
              <w:right w:w="100.0" w:type="dxa"/>
            </w:tcMar>
            <w:vAlign w:val="top"/>
          </w:tcPr>
          <w:p w:rsidR="00000000" w:rsidDel="00000000" w:rsidP="00000000" w:rsidRDefault="00000000" w:rsidRPr="00000000" w14:paraId="0000001D">
            <w:pPr>
              <w:spacing w:after="0" w:before="0" w:line="240" w:lineRule="auto"/>
              <w:jc w:val="left"/>
              <w:rPr/>
            </w:pPr>
            <w:r w:rsidDel="00000000" w:rsidR="00000000" w:rsidRPr="00000000">
              <w:rPr>
                <w:b w:val="1"/>
                <w:bCs w:val="1"/>
                <w:rtl w:val="0"/>
              </w:rPr>
              <w:t xml:space="preserve">Sinonimia</w:t>
            </w:r>
            <w:r w:rsidDel="00000000" w:rsidR="00000000" w:rsidRPr="00000000">
              <w:rPr>
                <w:rtl w:val="0"/>
              </w:rPr>
            </w:r>
          </w:p>
        </w:tc>
        <w:tc>
          <w:tcPr>
            <w:tcBorders>
              <w:top w:color="efefef" w:space="0" w:sz="6" w:val="single"/>
              <w:left w:color="efefef" w:space="0" w:sz="6" w:val="single"/>
              <w:bottom w:color="efefef" w:space="0" w:sz="6" w:val="single"/>
              <w:right w:color="efefef" w:space="0" w:sz="6" w:val="single"/>
            </w:tcBorders>
            <w:tcMar>
              <w:top w:w="100.0" w:type="dxa"/>
              <w:left w:w="100.0" w:type="dxa"/>
              <w:bottom w:w="100.0" w:type="dxa"/>
              <w:right w:w="100.0" w:type="dxa"/>
            </w:tcMar>
            <w:vAlign w:val="top"/>
          </w:tcPr>
          <w:p w:rsidR="00000000" w:rsidDel="00000000" w:rsidP="00000000" w:rsidRDefault="00000000" w:rsidRPr="00000000" w14:paraId="0000001E">
            <w:pPr>
              <w:spacing w:after="0" w:before="0" w:line="240" w:lineRule="auto"/>
              <w:jc w:val="left"/>
              <w:rPr/>
            </w:pPr>
            <w:r w:rsidDel="00000000" w:rsidR="00000000" w:rsidRPr="00000000">
              <w:rPr>
                <w:i w:val="1"/>
                <w:iCs w:val="1"/>
                <w:rtl w:val="0"/>
              </w:rPr>
              <w:t xml:space="preserve">Suministro / Líquido</w:t>
            </w:r>
            <w:r w:rsidDel="00000000" w:rsidR="00000000" w:rsidRPr="00000000">
              <w:rPr>
                <w:rtl w:val="0"/>
              </w:rPr>
            </w:r>
          </w:p>
        </w:tc>
        <w:tc>
          <w:tcPr>
            <w:tcBorders>
              <w:top w:color="efefef" w:space="0" w:sz="6" w:val="single"/>
              <w:left w:color="efefef" w:space="0" w:sz="6" w:val="single"/>
              <w:bottom w:color="efefef" w:space="0" w:sz="6" w:val="single"/>
              <w:right w:color="efefef" w:space="0" w:sz="6" w:val="single"/>
            </w:tcBorders>
            <w:tcMar>
              <w:top w:w="100.0" w:type="dxa"/>
              <w:left w:w="100.0" w:type="dxa"/>
              <w:bottom w:w="100.0" w:type="dxa"/>
              <w:right w:w="100.0" w:type="dxa"/>
            </w:tcMar>
            <w:vAlign w:val="top"/>
          </w:tcPr>
          <w:p w:rsidR="00000000" w:rsidDel="00000000" w:rsidP="00000000" w:rsidRDefault="00000000" w:rsidRPr="00000000" w14:paraId="0000001F">
            <w:pPr>
              <w:spacing w:after="0" w:before="0" w:line="240" w:lineRule="auto"/>
              <w:jc w:val="left"/>
              <w:rPr/>
            </w:pPr>
            <w:r w:rsidDel="00000000" w:rsidR="00000000" w:rsidRPr="00000000">
              <w:rPr>
                <w:rtl w:val="0"/>
              </w:rPr>
              <w:t xml:space="preserve">Evita repetir la palabra "agua" constantemente, haciendo que la lectura sea fluida y profesional.</w:t>
            </w:r>
          </w:p>
        </w:tc>
      </w:tr>
    </w:tbl>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_tradnl"/>
      </w:rPr>
    </w:rPrDefault>
    <w:pPrDefault>
      <w:pPr>
        <w:spacing w:after="120"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919191" w:space="0" w:sz="8" w:val="single"/>
      </w:pBdr>
      <w:spacing w:after="240" w:before="240" w:line="276" w:lineRule="auto"/>
    </w:pPr>
    <w:rPr>
      <w:rFonts w:ascii="Arial" w:cs="Arial" w:eastAsia="Arial" w:hAnsi="Arial"/>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Bdr>
        <w:bottom w:color="919191" w:space="0" w:sz="8" w:val="single"/>
      </w:pBdr>
      <w:spacing w:before="480" w:lineRule="auto"/>
    </w:pPr>
    <w:rPr>
      <w:b w:val="1"/>
      <w:bCs w:val="1"/>
      <w:sz w:val="38"/>
      <w:szCs w:val="3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Encabezamiento 2">
    <w:name w:val="Encabezamiento 2"/>
    <w:next w:val="Cuerpo"/>
    <w:pPr>
      <w:keepNext w:val="1"/>
      <w:keepLines w:val="0"/>
      <w:pageBreakBefore w:val="0"/>
      <w:widowControl w:val="1"/>
      <w:pBdr>
        <w:top w:space="0" w:sz="0" w:val="nil"/>
        <w:left w:space="0" w:sz="0" w:val="nil"/>
        <w:bottom w:color="919191" w:space="0" w:sz="8" w:val="single"/>
        <w:right w:space="0" w:sz="0" w:val="nil"/>
      </w:pBdr>
      <w:shd w:color="auto" w:fill="auto" w:val="clear"/>
      <w:suppressAutoHyphens w:val="0"/>
      <w:bidi w:val="0"/>
      <w:spacing w:after="0" w:before="0" w:line="240" w:lineRule="auto"/>
      <w:ind w:left="0" w:right="0" w:firstLine="0"/>
      <w:jc w:val="left"/>
      <w:outlineLvl w:val="1"/>
    </w:pPr>
    <w:rPr>
      <w:rFonts w:ascii="Arial" w:cs="Arial Unicode MS" w:eastAsia="Arial Unicode MS" w:hAnsi="Arial"/>
      <w:b w:val="1"/>
      <w:bCs w:val="1"/>
      <w:i w:val="0"/>
      <w:iCs w:val="0"/>
      <w:caps w:val="0"/>
      <w:smallCaps w:val="0"/>
      <w:strike w:val="0"/>
      <w:dstrike w:val="0"/>
      <w:outline w:val="0"/>
      <w:color w:val="000000"/>
      <w:spacing w:val="0"/>
      <w:kern w:val="0"/>
      <w:position w:val="0"/>
      <w:sz w:val="24"/>
      <w:szCs w:val="24"/>
      <w:u w:val="none"/>
      <w:shd w:color="auto" w:fill="auto" w:val="nil"/>
      <w:vertAlign w:val="baseline"/>
      <w:lang w:val="es-ES_tradnl"/>
      <w14:textFill>
        <w14:solidFill>
          <w14:srgbClr w14:val="000000"/>
        </w14:solidFill>
      </w14:textFill>
      <w14:textOutline>
        <w14:noFill/>
      </w14:textOutline>
    </w:rPr>
  </w:style>
  <w:style w:type="paragraph" w:styleId="Cuerpo">
    <w:name w:val="Cuerpo"/>
    <w:next w:val="Cuerpo"/>
    <w:pPr>
      <w:keepNext w:val="0"/>
      <w:keepLines w:val="0"/>
      <w:pageBreakBefore w:val="0"/>
      <w:widowControl w:val="1"/>
      <w:shd w:color="auto" w:fill="auto" w:val="clear"/>
      <w:suppressAutoHyphens w:val="0"/>
      <w:bidi w:val="0"/>
      <w:spacing w:after="120" w:before="120" w:line="240" w:lineRule="auto"/>
      <w:ind w:left="0" w:right="0" w:firstLine="0"/>
      <w:jc w:val="both"/>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2"/>
      <w:szCs w:val="22"/>
      <w:u w:val="none"/>
      <w:shd w:color="auto" w:fill="auto" w:val="nil"/>
      <w:vertAlign w:val="baseline"/>
      <w:lang w:val="es-ES_tradnl"/>
      <w14:textFill>
        <w14:solidFill>
          <w14:srgbClr w14:val="000000"/>
        </w14:solidFill>
      </w14:textFill>
      <w14:textOutline>
        <w14:noFill/>
      </w14:textOutline>
    </w:rPr>
  </w:style>
  <w:style w:type="character" w:styleId="Ninguno">
    <w:name w:val="Ninguno"/>
    <w:rPr>
      <w:lang w:val="es-ES_tradnl"/>
    </w:rPr>
  </w:style>
  <w:style w:type="numbering" w:styleId="Guion">
    <w:name w:val="Guion"/>
    <w:pPr>
      <w:numPr>
        <w:numId w:val="1"/>
      </w:numPr>
    </w:pPr>
  </w:style>
  <w:style w:type="character" w:styleId="Hyperlink.0">
    <w:name w:val="Hyperlink.0"/>
    <w:basedOn w:val="Ninguno"/>
    <w:next w:val="Hyperlink.0"/>
    <w:rPr>
      <w:b w:val="1"/>
      <w:bCs w:val="1"/>
      <w:outline w:val="0"/>
      <w:color w:val="0000ee"/>
      <w:u w:val="single"/>
      <w14:textFill>
        <w14:solidFill>
          <w14:srgbClr w14:val="0000EE"/>
        </w14:solidFill>
      </w14:textFill>
    </w:rPr>
  </w:style>
  <w:style w:type="numbering" w:styleId="Número">
    <w:name w:val="Número"/>
    <w:pPr>
      <w:numPr>
        <w:numId w:val="3"/>
      </w:numPr>
    </w:p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600"/>
          </a:spcBef>
          <a:spcAft>
            <a:spcPts val="0"/>
          </a:spcAft>
          <a:buClrTx/>
          <a:buSzTx/>
          <a:buFontTx/>
          <a:buNone/>
          <a:tabLst/>
          <a:defRPr b="0" baseline="0" cap="none" i="0" spc="0" strike="noStrike" sz="11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V5No74bhh7kfY82LwU8CIATmFw==">CgMxLjAaHQoBMBIYChYIB0ISEhBBcmlhbCBVbmljb2RlIE1TGh0KATESGAoWCAdCEhIQQXJpYWwgVW5pY29kZSBNUzIOaC54a2RlMXY4OTFlY3MyDmguejIwZzV1eW9iMTVrMg5oLjliNHNmZnUxcG1nYjIOaC5icmhyZTZrcHl3YXEyDmguazdtcHRzeXhobW0xOAByITFMcVF0UnljazNmQ1NMSXJ3TTh2WkFzVDF4NS1ZV0RDZw==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